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61EA2" w14:textId="77777777" w:rsidR="008052D4" w:rsidRPr="007958DF" w:rsidRDefault="00AB6C35" w:rsidP="00BC6295">
      <w:pPr>
        <w:spacing w:after="0" w:line="240" w:lineRule="auto"/>
        <w:ind w:left="709" w:hanging="709"/>
        <w:jc w:val="both"/>
        <w:rPr>
          <w:rFonts w:cs="Times New Roman"/>
          <w:b/>
          <w:bCs/>
          <w:color w:val="0080C1"/>
          <w:sz w:val="36"/>
          <w:szCs w:val="36"/>
        </w:rPr>
      </w:pPr>
      <w:r>
        <w:rPr>
          <w:rFonts w:cs="Times New Roman"/>
          <w:b/>
          <w:bCs/>
          <w:color w:val="0080C1"/>
          <w:sz w:val="36"/>
          <w:szCs w:val="36"/>
        </w:rPr>
        <w:t>4</w:t>
      </w:r>
      <w:r w:rsidR="00BC6295" w:rsidRPr="007958DF">
        <w:rPr>
          <w:rFonts w:cs="Times New Roman"/>
          <w:b/>
          <w:bCs/>
          <w:color w:val="0080C1"/>
          <w:sz w:val="36"/>
          <w:szCs w:val="36"/>
        </w:rPr>
        <w:t>.</w:t>
      </w:r>
      <w:r w:rsidR="00BC6295" w:rsidRPr="007958DF">
        <w:rPr>
          <w:rFonts w:cs="Times New Roman"/>
          <w:b/>
          <w:bCs/>
          <w:color w:val="0080C1"/>
          <w:sz w:val="36"/>
          <w:szCs w:val="36"/>
        </w:rPr>
        <w:tab/>
      </w:r>
      <w:r>
        <w:rPr>
          <w:rFonts w:cs="Times New Roman"/>
          <w:b/>
          <w:bCs/>
          <w:color w:val="0080C1"/>
          <w:sz w:val="36"/>
          <w:szCs w:val="36"/>
        </w:rPr>
        <w:t>Procediments administratius per a l’aplicació de les obligacions establertes en la Llei 5/2003</w:t>
      </w:r>
    </w:p>
    <w:p w14:paraId="14822471" w14:textId="77777777" w:rsidR="008052D4" w:rsidRDefault="008052D4"/>
    <w:p w14:paraId="5FBCB2A1" w14:textId="77777777" w:rsidR="008052D4" w:rsidRPr="00AF699D" w:rsidRDefault="00AB6C35" w:rsidP="00AF699D">
      <w:pPr>
        <w:pStyle w:val="Pargrafdellista"/>
        <w:numPr>
          <w:ilvl w:val="0"/>
          <w:numId w:val="20"/>
        </w:numPr>
        <w:ind w:left="284" w:hanging="284"/>
        <w:jc w:val="both"/>
        <w:rPr>
          <w:rFonts w:cs="Times New Roman"/>
          <w:b/>
          <w:bCs/>
          <w:color w:val="0080C1"/>
          <w:sz w:val="28"/>
          <w:szCs w:val="28"/>
        </w:rPr>
      </w:pPr>
      <w:r w:rsidRPr="00AF699D">
        <w:rPr>
          <w:rFonts w:cs="Times New Roman"/>
          <w:b/>
          <w:bCs/>
          <w:color w:val="0080C1"/>
          <w:sz w:val="28"/>
          <w:szCs w:val="28"/>
        </w:rPr>
        <w:t>Objectiu</w:t>
      </w:r>
      <w:r w:rsidR="008052D4" w:rsidRPr="00AF699D">
        <w:rPr>
          <w:rFonts w:cs="Times New Roman"/>
          <w:b/>
          <w:bCs/>
          <w:color w:val="0080C1"/>
          <w:sz w:val="28"/>
          <w:szCs w:val="28"/>
        </w:rPr>
        <w:t xml:space="preserve"> del Pla</w:t>
      </w:r>
    </w:p>
    <w:p w14:paraId="651DB170" w14:textId="77777777" w:rsidR="0002269B" w:rsidRDefault="0002269B" w:rsidP="0002269B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Aquesta guia de procediments administratius ha estat elaborada amb l’objectiu de facilitar als </w:t>
      </w:r>
      <w:r w:rsidR="00B257C1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>juntaments l’execució dels projectes del “Pla de prevenció</w:t>
      </w:r>
      <w:r w:rsidR="00AB6C35">
        <w:rPr>
          <w:rFonts w:ascii="Calibri" w:hAnsi="Calibri" w:cs="Calibri"/>
          <w:sz w:val="24"/>
          <w:szCs w:val="24"/>
        </w:rPr>
        <w:t xml:space="preserve"> d’incendis forestals a les urbanitzacions i nuclis de població” següents:</w:t>
      </w:r>
    </w:p>
    <w:p w14:paraId="3F2D058E" w14:textId="77777777" w:rsidR="00FB40AC" w:rsidRPr="00FB40AC" w:rsidRDefault="00FB40AC" w:rsidP="0002269B">
      <w:pPr>
        <w:pStyle w:val="Llista2"/>
        <w:spacing w:after="0" w:line="240" w:lineRule="auto"/>
        <w:ind w:left="0" w:firstLine="0"/>
        <w:rPr>
          <w:rFonts w:ascii="Calibri" w:hAnsi="Calibri" w:cs="Calibri"/>
          <w:sz w:val="10"/>
          <w:szCs w:val="10"/>
        </w:rPr>
      </w:pPr>
    </w:p>
    <w:p w14:paraId="3D3AF9B2" w14:textId="303F9E1A" w:rsidR="00AB6C35" w:rsidRDefault="00AB6C35" w:rsidP="00AB6C35">
      <w:pPr>
        <w:pStyle w:val="Llista2"/>
        <w:numPr>
          <w:ilvl w:val="0"/>
          <w:numId w:val="14"/>
        </w:num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Projecte sobre la reducció de la densitat de l’arbrat i estassada del sotabosc en la franja </w:t>
      </w:r>
      <w:r w:rsidR="00152BED">
        <w:rPr>
          <w:rFonts w:ascii="Calibri" w:hAnsi="Calibri" w:cs="Calibri"/>
          <w:sz w:val="24"/>
          <w:szCs w:val="24"/>
        </w:rPr>
        <w:t>exterior de protecció</w:t>
      </w:r>
      <w:r w:rsidR="00596CBF">
        <w:rPr>
          <w:rFonts w:ascii="Calibri" w:hAnsi="Calibri" w:cs="Calibri"/>
          <w:sz w:val="24"/>
          <w:szCs w:val="24"/>
        </w:rPr>
        <w:t>, incloent manteniment</w:t>
      </w:r>
      <w:r w:rsidR="003B4787">
        <w:rPr>
          <w:rFonts w:ascii="Calibri" w:hAnsi="Calibri" w:cs="Calibri"/>
          <w:sz w:val="24"/>
          <w:szCs w:val="24"/>
        </w:rPr>
        <w:t>.</w:t>
      </w:r>
    </w:p>
    <w:p w14:paraId="1A89E4BA" w14:textId="77777777" w:rsidR="00AB6C35" w:rsidRPr="00314252" w:rsidRDefault="00AB6C35" w:rsidP="00AB6C35">
      <w:pPr>
        <w:pStyle w:val="Llista2"/>
        <w:numPr>
          <w:ilvl w:val="0"/>
          <w:numId w:val="14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314252">
        <w:rPr>
          <w:rFonts w:ascii="Calibri" w:hAnsi="Calibri" w:cs="Calibri"/>
          <w:sz w:val="24"/>
          <w:szCs w:val="24"/>
        </w:rPr>
        <w:t>Projecte sobre la reducció de la densitat de l’arbrat i estassada del sotabosc en les parcel·les interiors, incloent manteniment</w:t>
      </w:r>
      <w:r w:rsidR="003B4787" w:rsidRPr="00314252">
        <w:rPr>
          <w:rFonts w:ascii="Calibri" w:hAnsi="Calibri" w:cs="Calibri"/>
          <w:sz w:val="24"/>
          <w:szCs w:val="24"/>
        </w:rPr>
        <w:t>.</w:t>
      </w:r>
    </w:p>
    <w:p w14:paraId="37187CDA" w14:textId="77777777" w:rsidR="00AF699D" w:rsidRDefault="00AF699D" w:rsidP="00AB6C35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</w:p>
    <w:p w14:paraId="417A8366" w14:textId="77777777" w:rsidR="00AB6C35" w:rsidRDefault="00AB6C35" w:rsidP="00AB6C35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En refer</w:t>
      </w:r>
      <w:r w:rsidR="00792867">
        <w:rPr>
          <w:rFonts w:ascii="Calibri" w:hAnsi="Calibri" w:cs="Calibri"/>
          <w:sz w:val="24"/>
          <w:szCs w:val="24"/>
        </w:rPr>
        <w:t>ència aq</w:t>
      </w:r>
      <w:r>
        <w:rPr>
          <w:rFonts w:ascii="Calibri" w:hAnsi="Calibri" w:cs="Calibri"/>
          <w:sz w:val="24"/>
          <w:szCs w:val="24"/>
        </w:rPr>
        <w:t>uest objectiu cal fer notar que aquesta guia:</w:t>
      </w:r>
    </w:p>
    <w:p w14:paraId="140FAF7B" w14:textId="77777777" w:rsidR="00FB40AC" w:rsidRPr="00FB40AC" w:rsidRDefault="00FB40AC" w:rsidP="00AB6C35">
      <w:pPr>
        <w:pStyle w:val="Llista2"/>
        <w:spacing w:after="0" w:line="240" w:lineRule="auto"/>
        <w:ind w:left="0" w:firstLine="0"/>
        <w:rPr>
          <w:rFonts w:ascii="Calibri" w:hAnsi="Calibri" w:cs="Calibri"/>
          <w:sz w:val="10"/>
          <w:szCs w:val="10"/>
        </w:rPr>
      </w:pPr>
    </w:p>
    <w:p w14:paraId="38CBC9D7" w14:textId="77777777" w:rsidR="00AB6C35" w:rsidRDefault="00AB6C35" w:rsidP="00AB6C35">
      <w:pPr>
        <w:pStyle w:val="Llista2"/>
        <w:numPr>
          <w:ilvl w:val="0"/>
          <w:numId w:val="14"/>
        </w:num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 fa distincions entre els objectius previstos a les lletres a) i b) de l’article 3.1 de la Llei 5/2003, atès que el tractament legal es el mateix per a totes dues.</w:t>
      </w:r>
    </w:p>
    <w:p w14:paraId="7D0B13DE" w14:textId="77777777" w:rsidR="00AB6C35" w:rsidRPr="002A4462" w:rsidRDefault="00AB6C35" w:rsidP="00AB6C35">
      <w:pPr>
        <w:pStyle w:val="Llista2"/>
        <w:numPr>
          <w:ilvl w:val="0"/>
          <w:numId w:val="14"/>
        </w:num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Només desenvolupa els procediments necessaris per a l’execució dels projectes esmentats. Per tant, no hi ha un desenvolupament integral de la Llei 5/2003 i queda fora d’aquesta guia activitats com la inspecció i l’activitat sancionadora.</w:t>
      </w:r>
    </w:p>
    <w:p w14:paraId="2D0638E4" w14:textId="77777777" w:rsidR="00BC6295" w:rsidRPr="007958DF" w:rsidRDefault="00BC6295" w:rsidP="00BC6295">
      <w:pPr>
        <w:ind w:left="709" w:hanging="709"/>
        <w:jc w:val="both"/>
        <w:rPr>
          <w:rFonts w:cs="Times New Roman"/>
          <w:b/>
          <w:bCs/>
          <w:color w:val="0080C1"/>
          <w:sz w:val="28"/>
          <w:szCs w:val="28"/>
        </w:rPr>
      </w:pPr>
    </w:p>
    <w:p w14:paraId="62C14570" w14:textId="77777777" w:rsidR="00AF699D" w:rsidRDefault="00AF699D" w:rsidP="00BC6295">
      <w:pPr>
        <w:ind w:left="709" w:hanging="709"/>
        <w:jc w:val="both"/>
        <w:rPr>
          <w:rFonts w:cs="Times New Roman"/>
          <w:b/>
          <w:bCs/>
          <w:color w:val="0080C1"/>
          <w:sz w:val="28"/>
          <w:szCs w:val="28"/>
        </w:rPr>
      </w:pPr>
      <w:r>
        <w:rPr>
          <w:rFonts w:cs="Times New Roman"/>
          <w:b/>
          <w:bCs/>
          <w:color w:val="0080C1"/>
          <w:sz w:val="28"/>
          <w:szCs w:val="28"/>
        </w:rPr>
        <w:br w:type="page"/>
      </w:r>
    </w:p>
    <w:p w14:paraId="2B91C5E3" w14:textId="77777777" w:rsidR="008052D4" w:rsidRPr="00AF699D" w:rsidRDefault="00AB6C35" w:rsidP="00AF699D">
      <w:pPr>
        <w:pStyle w:val="Pargrafdellista"/>
        <w:numPr>
          <w:ilvl w:val="0"/>
          <w:numId w:val="20"/>
        </w:numPr>
        <w:ind w:left="284" w:hanging="284"/>
        <w:jc w:val="both"/>
        <w:rPr>
          <w:rFonts w:cs="Times New Roman"/>
          <w:b/>
          <w:bCs/>
          <w:color w:val="0080C1"/>
          <w:sz w:val="28"/>
          <w:szCs w:val="28"/>
        </w:rPr>
      </w:pPr>
      <w:r w:rsidRPr="00AF699D">
        <w:rPr>
          <w:rFonts w:cs="Times New Roman"/>
          <w:b/>
          <w:bCs/>
          <w:color w:val="0080C1"/>
          <w:sz w:val="28"/>
          <w:szCs w:val="28"/>
        </w:rPr>
        <w:lastRenderedPageBreak/>
        <w:t>Contingut de la guia</w:t>
      </w:r>
    </w:p>
    <w:p w14:paraId="12615408" w14:textId="77777777" w:rsidR="00AB6C35" w:rsidRPr="00792867" w:rsidRDefault="00AB6C35" w:rsidP="00F57F75">
      <w:pPr>
        <w:rPr>
          <w:sz w:val="24"/>
          <w:szCs w:val="24"/>
        </w:rPr>
      </w:pPr>
      <w:r w:rsidRPr="00792867">
        <w:rPr>
          <w:sz w:val="24"/>
          <w:szCs w:val="24"/>
        </w:rPr>
        <w:t>Per aconseguir l’objectiu esmentat la guia desenvolupa els següents aspectes:</w:t>
      </w:r>
    </w:p>
    <w:p w14:paraId="3AE18415" w14:textId="4F0EC174" w:rsidR="00AB6C35" w:rsidRPr="00792867" w:rsidRDefault="00792867" w:rsidP="00AF699D">
      <w:pPr>
        <w:ind w:left="567" w:hanging="567"/>
        <w:jc w:val="both"/>
        <w:rPr>
          <w:rFonts w:cs="Times New Roman"/>
          <w:b/>
          <w:bCs/>
          <w:color w:val="0080C1"/>
          <w:sz w:val="28"/>
          <w:szCs w:val="28"/>
        </w:rPr>
      </w:pPr>
      <w:r>
        <w:rPr>
          <w:rFonts w:cs="Times New Roman"/>
          <w:b/>
          <w:bCs/>
          <w:color w:val="0080C1"/>
          <w:sz w:val="28"/>
          <w:szCs w:val="28"/>
        </w:rPr>
        <w:t>4.1</w:t>
      </w:r>
      <w:r w:rsidR="00AF699D">
        <w:rPr>
          <w:rFonts w:cs="Times New Roman"/>
          <w:b/>
          <w:bCs/>
          <w:color w:val="0080C1"/>
          <w:sz w:val="28"/>
          <w:szCs w:val="28"/>
        </w:rPr>
        <w:t xml:space="preserve"> </w:t>
      </w:r>
      <w:r w:rsidR="00AB6C35" w:rsidRPr="00792867">
        <w:rPr>
          <w:rFonts w:cs="Times New Roman"/>
          <w:b/>
          <w:bCs/>
          <w:color w:val="0080C1"/>
          <w:sz w:val="28"/>
          <w:szCs w:val="28"/>
        </w:rPr>
        <w:t>Procediments administratius per a l’aplicació de les següents obligacions establertes en la Llei 5/200</w:t>
      </w:r>
      <w:r w:rsidR="00596CBF">
        <w:rPr>
          <w:rFonts w:cs="Times New Roman"/>
          <w:b/>
          <w:bCs/>
          <w:color w:val="0080C1"/>
          <w:sz w:val="28"/>
          <w:szCs w:val="28"/>
        </w:rPr>
        <w:t>3</w:t>
      </w:r>
      <w:r w:rsidR="00AB6C35" w:rsidRPr="00792867">
        <w:rPr>
          <w:rFonts w:cs="Times New Roman"/>
          <w:b/>
          <w:bCs/>
          <w:color w:val="0080C1"/>
          <w:sz w:val="28"/>
          <w:szCs w:val="28"/>
        </w:rPr>
        <w:t>:</w:t>
      </w:r>
    </w:p>
    <w:p w14:paraId="7894F6E9" w14:textId="465750A0" w:rsidR="00AB6C35" w:rsidRPr="00AF699D" w:rsidRDefault="00AB6C35" w:rsidP="00AF699D">
      <w:pPr>
        <w:pStyle w:val="Pargrafdellista"/>
        <w:tabs>
          <w:tab w:val="left" w:pos="1134"/>
        </w:tabs>
        <w:ind w:left="1134" w:hanging="567"/>
        <w:rPr>
          <w:rFonts w:cs="Times New Roman"/>
          <w:b/>
          <w:bCs/>
          <w:color w:val="0080C1"/>
          <w:sz w:val="24"/>
          <w:szCs w:val="24"/>
        </w:rPr>
      </w:pPr>
      <w:r w:rsidRPr="00AF699D">
        <w:rPr>
          <w:b/>
          <w:sz w:val="24"/>
          <w:szCs w:val="24"/>
        </w:rPr>
        <w:t xml:space="preserve">4.1.1 </w:t>
      </w:r>
      <w:r w:rsidR="00792867" w:rsidRPr="00AF699D">
        <w:rPr>
          <w:b/>
          <w:sz w:val="24"/>
          <w:szCs w:val="24"/>
        </w:rPr>
        <w:t xml:space="preserve"> </w:t>
      </w:r>
      <w:r w:rsidRPr="00AF699D">
        <w:rPr>
          <w:b/>
          <w:sz w:val="24"/>
          <w:szCs w:val="24"/>
        </w:rPr>
        <w:t xml:space="preserve">Delimitació de la Urbanització. </w:t>
      </w:r>
      <w:r w:rsidRPr="00314252">
        <w:rPr>
          <w:bCs/>
          <w:sz w:val="24"/>
          <w:szCs w:val="24"/>
        </w:rPr>
        <w:t>Requisit previ</w:t>
      </w:r>
      <w:r w:rsidR="00792867" w:rsidRPr="00314252">
        <w:rPr>
          <w:bCs/>
          <w:sz w:val="24"/>
          <w:szCs w:val="24"/>
        </w:rPr>
        <w:t xml:space="preserve"> per a qualsevol acte posterior</w:t>
      </w:r>
      <w:r w:rsidR="00AF699D" w:rsidRPr="00314252">
        <w:rPr>
          <w:bCs/>
          <w:sz w:val="24"/>
          <w:szCs w:val="24"/>
        </w:rPr>
        <w:t xml:space="preserve"> d</w:t>
      </w:r>
      <w:r w:rsidRPr="00314252">
        <w:rPr>
          <w:bCs/>
          <w:sz w:val="24"/>
          <w:szCs w:val="24"/>
        </w:rPr>
        <w:t>’aplicació de la Llei, que és exigible en totes les urbanitzacions</w:t>
      </w:r>
      <w:r w:rsidR="00596CBF">
        <w:rPr>
          <w:bCs/>
          <w:sz w:val="24"/>
          <w:szCs w:val="24"/>
        </w:rPr>
        <w:t xml:space="preserve"> i nuclis de població</w:t>
      </w:r>
    </w:p>
    <w:p w14:paraId="05D14E52" w14:textId="77777777" w:rsidR="00AB6C35" w:rsidRPr="00AF699D" w:rsidRDefault="00AB6C35" w:rsidP="00792867">
      <w:pPr>
        <w:pStyle w:val="Pargrafdellista"/>
        <w:tabs>
          <w:tab w:val="left" w:pos="1134"/>
        </w:tabs>
        <w:ind w:left="1418" w:hanging="851"/>
        <w:rPr>
          <w:b/>
          <w:sz w:val="24"/>
          <w:szCs w:val="24"/>
        </w:rPr>
      </w:pPr>
      <w:r w:rsidRPr="00AF699D">
        <w:rPr>
          <w:b/>
          <w:sz w:val="24"/>
          <w:szCs w:val="24"/>
        </w:rPr>
        <w:t xml:space="preserve">4.1.2 </w:t>
      </w:r>
      <w:r w:rsidR="00792867" w:rsidRPr="00AF699D">
        <w:rPr>
          <w:b/>
          <w:sz w:val="24"/>
          <w:szCs w:val="24"/>
        </w:rPr>
        <w:t xml:space="preserve"> </w:t>
      </w:r>
      <w:r w:rsidRPr="00AF699D">
        <w:rPr>
          <w:b/>
          <w:sz w:val="24"/>
          <w:szCs w:val="24"/>
        </w:rPr>
        <w:t xml:space="preserve">Ordres d’execució obligada </w:t>
      </w:r>
    </w:p>
    <w:p w14:paraId="49B65510" w14:textId="77777777" w:rsidR="00AB6C35" w:rsidRPr="00AF699D" w:rsidRDefault="00AB6C35" w:rsidP="00792867">
      <w:pPr>
        <w:pStyle w:val="Pargrafdellista"/>
        <w:tabs>
          <w:tab w:val="left" w:pos="1134"/>
        </w:tabs>
        <w:ind w:left="1418" w:hanging="851"/>
        <w:rPr>
          <w:b/>
          <w:sz w:val="24"/>
          <w:szCs w:val="24"/>
        </w:rPr>
      </w:pPr>
      <w:r w:rsidRPr="00AF699D">
        <w:rPr>
          <w:b/>
          <w:sz w:val="24"/>
          <w:szCs w:val="24"/>
        </w:rPr>
        <w:t xml:space="preserve">4.1.3 </w:t>
      </w:r>
      <w:r w:rsidR="00792867" w:rsidRPr="00AF699D">
        <w:rPr>
          <w:b/>
          <w:sz w:val="24"/>
          <w:szCs w:val="24"/>
        </w:rPr>
        <w:t xml:space="preserve"> </w:t>
      </w:r>
      <w:r w:rsidRPr="00AF699D">
        <w:rPr>
          <w:b/>
          <w:sz w:val="24"/>
          <w:szCs w:val="24"/>
        </w:rPr>
        <w:t>Execució municipal subsidiària</w:t>
      </w:r>
    </w:p>
    <w:p w14:paraId="72EA2645" w14:textId="77777777" w:rsidR="00792867" w:rsidRDefault="00AB6C35" w:rsidP="00792867">
      <w:pPr>
        <w:pStyle w:val="Pargrafdellista"/>
        <w:tabs>
          <w:tab w:val="left" w:pos="1134"/>
        </w:tabs>
        <w:ind w:left="1418" w:hanging="851"/>
        <w:rPr>
          <w:b/>
          <w:sz w:val="24"/>
          <w:szCs w:val="24"/>
        </w:rPr>
      </w:pPr>
      <w:r w:rsidRPr="00AF699D">
        <w:rPr>
          <w:b/>
          <w:sz w:val="24"/>
          <w:szCs w:val="24"/>
        </w:rPr>
        <w:t xml:space="preserve">4.1.4 </w:t>
      </w:r>
      <w:r w:rsidR="00792867" w:rsidRPr="00AF699D">
        <w:rPr>
          <w:b/>
          <w:sz w:val="24"/>
          <w:szCs w:val="24"/>
        </w:rPr>
        <w:t xml:space="preserve"> </w:t>
      </w:r>
      <w:r w:rsidRPr="00AF699D">
        <w:rPr>
          <w:b/>
          <w:sz w:val="24"/>
          <w:szCs w:val="24"/>
        </w:rPr>
        <w:t>Imposició de la servitud d’accés sobre els terrenys de la franja perimetral</w:t>
      </w:r>
    </w:p>
    <w:p w14:paraId="1BCB0EA5" w14:textId="77777777" w:rsidR="00AF699D" w:rsidRPr="00BA5A52" w:rsidRDefault="00AF699D" w:rsidP="00AF699D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  <w:r w:rsidRPr="00792867">
        <w:rPr>
          <w:rFonts w:ascii="Calibri" w:hAnsi="Calibri" w:cs="Calibri"/>
          <w:sz w:val="24"/>
          <w:szCs w:val="24"/>
        </w:rPr>
        <w:t>Els models de la guia es poden trobar en el CD que s’adjunta.</w:t>
      </w:r>
    </w:p>
    <w:p w14:paraId="57FD80DE" w14:textId="77777777" w:rsidR="00AF699D" w:rsidRPr="00AF699D" w:rsidRDefault="00AF699D" w:rsidP="00792867">
      <w:pPr>
        <w:pStyle w:val="Pargrafdellista"/>
        <w:tabs>
          <w:tab w:val="left" w:pos="1134"/>
        </w:tabs>
        <w:ind w:left="1418" w:hanging="851"/>
        <w:rPr>
          <w:b/>
          <w:sz w:val="24"/>
          <w:szCs w:val="24"/>
        </w:rPr>
      </w:pPr>
    </w:p>
    <w:p w14:paraId="3345B5F1" w14:textId="77777777" w:rsidR="00792867" w:rsidRPr="00792867" w:rsidRDefault="00792867" w:rsidP="003272AC">
      <w:pPr>
        <w:ind w:left="567" w:hanging="567"/>
        <w:jc w:val="both"/>
        <w:rPr>
          <w:rFonts w:cs="Times New Roman"/>
          <w:b/>
          <w:bCs/>
          <w:color w:val="0080C1"/>
          <w:sz w:val="28"/>
          <w:szCs w:val="28"/>
        </w:rPr>
      </w:pPr>
      <w:r w:rsidRPr="00792867">
        <w:rPr>
          <w:rFonts w:cs="Times New Roman"/>
          <w:b/>
          <w:bCs/>
          <w:color w:val="0080C1"/>
          <w:sz w:val="28"/>
          <w:szCs w:val="28"/>
        </w:rPr>
        <w:t xml:space="preserve">4.2 </w:t>
      </w:r>
      <w:r w:rsidR="003272AC">
        <w:rPr>
          <w:rFonts w:cs="Times New Roman"/>
          <w:b/>
          <w:bCs/>
          <w:color w:val="0080C1"/>
          <w:sz w:val="28"/>
          <w:szCs w:val="28"/>
        </w:rPr>
        <w:tab/>
      </w:r>
      <w:r w:rsidRPr="00792867">
        <w:rPr>
          <w:rFonts w:cs="Times New Roman"/>
          <w:b/>
          <w:bCs/>
          <w:color w:val="0080C1"/>
          <w:sz w:val="28"/>
          <w:szCs w:val="28"/>
        </w:rPr>
        <w:t>Mesures econòmiques pel finançament:</w:t>
      </w:r>
    </w:p>
    <w:p w14:paraId="1461AA9B" w14:textId="77777777" w:rsidR="00792867" w:rsidRPr="00AF699D" w:rsidRDefault="00792867" w:rsidP="00AF699D">
      <w:pPr>
        <w:pStyle w:val="Pargrafdellista"/>
        <w:tabs>
          <w:tab w:val="left" w:pos="1134"/>
        </w:tabs>
        <w:spacing w:after="0"/>
        <w:ind w:left="1418" w:hanging="851"/>
        <w:rPr>
          <w:b/>
          <w:sz w:val="24"/>
          <w:szCs w:val="24"/>
        </w:rPr>
      </w:pPr>
      <w:r w:rsidRPr="00AF699D">
        <w:rPr>
          <w:b/>
          <w:sz w:val="24"/>
          <w:szCs w:val="24"/>
        </w:rPr>
        <w:t xml:space="preserve">4.2.1 Figures d’ingrés, des d’un criteri </w:t>
      </w:r>
      <w:proofErr w:type="spellStart"/>
      <w:r w:rsidRPr="00AF699D">
        <w:rPr>
          <w:b/>
          <w:sz w:val="24"/>
          <w:szCs w:val="24"/>
        </w:rPr>
        <w:t>jurídico</w:t>
      </w:r>
      <w:proofErr w:type="spellEnd"/>
      <w:r w:rsidRPr="00AF699D">
        <w:rPr>
          <w:b/>
          <w:sz w:val="24"/>
          <w:szCs w:val="24"/>
        </w:rPr>
        <w:t>-pràctic</w:t>
      </w:r>
    </w:p>
    <w:p w14:paraId="01DABDCD" w14:textId="77777777" w:rsidR="00792867" w:rsidRPr="00792867" w:rsidRDefault="00792867" w:rsidP="00792867">
      <w:pPr>
        <w:pStyle w:val="Llista2"/>
        <w:tabs>
          <w:tab w:val="left" w:pos="851"/>
        </w:tabs>
        <w:spacing w:after="0" w:line="240" w:lineRule="auto"/>
        <w:ind w:left="851" w:hanging="284"/>
        <w:rPr>
          <w:rFonts w:ascii="Calibri" w:hAnsi="Calibri" w:cs="Calibri"/>
          <w:sz w:val="24"/>
          <w:szCs w:val="24"/>
        </w:rPr>
      </w:pPr>
      <w:r w:rsidRPr="00792867">
        <w:rPr>
          <w:rFonts w:ascii="Calibri" w:hAnsi="Calibri" w:cs="Calibri"/>
          <w:sz w:val="24"/>
          <w:szCs w:val="24"/>
        </w:rPr>
        <w:t xml:space="preserve">- </w:t>
      </w:r>
      <w:r w:rsidRPr="00792867">
        <w:rPr>
          <w:rFonts w:ascii="Calibri" w:hAnsi="Calibri" w:cs="Calibri"/>
          <w:sz w:val="24"/>
          <w:szCs w:val="24"/>
        </w:rPr>
        <w:tab/>
        <w:t>Preus públics</w:t>
      </w:r>
    </w:p>
    <w:p w14:paraId="3FB00B82" w14:textId="77777777" w:rsidR="00792867" w:rsidRPr="00792867" w:rsidRDefault="00792867" w:rsidP="00792867">
      <w:pPr>
        <w:pStyle w:val="Llista2"/>
        <w:tabs>
          <w:tab w:val="left" w:pos="851"/>
        </w:tabs>
        <w:spacing w:after="0" w:line="240" w:lineRule="auto"/>
        <w:ind w:left="851" w:hanging="284"/>
        <w:rPr>
          <w:rFonts w:ascii="Calibri" w:hAnsi="Calibri" w:cs="Calibri"/>
          <w:sz w:val="24"/>
          <w:szCs w:val="24"/>
        </w:rPr>
      </w:pPr>
      <w:r w:rsidRPr="00792867">
        <w:rPr>
          <w:rFonts w:ascii="Calibri" w:hAnsi="Calibri" w:cs="Calibri"/>
          <w:sz w:val="24"/>
          <w:szCs w:val="24"/>
        </w:rPr>
        <w:t xml:space="preserve">- </w:t>
      </w:r>
      <w:r w:rsidRPr="00792867">
        <w:rPr>
          <w:rFonts w:ascii="Calibri" w:hAnsi="Calibri" w:cs="Calibri"/>
          <w:sz w:val="24"/>
          <w:szCs w:val="24"/>
        </w:rPr>
        <w:tab/>
        <w:t>Rescabalament de despeses d’execució subsidiària</w:t>
      </w:r>
    </w:p>
    <w:p w14:paraId="5FB6503F" w14:textId="77777777" w:rsidR="00792867" w:rsidRPr="00792867" w:rsidRDefault="00792867" w:rsidP="00792867">
      <w:pPr>
        <w:pStyle w:val="Llista2"/>
        <w:tabs>
          <w:tab w:val="left" w:pos="851"/>
        </w:tabs>
        <w:spacing w:after="0" w:line="240" w:lineRule="auto"/>
        <w:ind w:left="851" w:hanging="284"/>
        <w:rPr>
          <w:rFonts w:ascii="Calibri" w:hAnsi="Calibri" w:cs="Calibri"/>
          <w:sz w:val="24"/>
          <w:szCs w:val="24"/>
        </w:rPr>
      </w:pPr>
      <w:r w:rsidRPr="00792867">
        <w:rPr>
          <w:rFonts w:ascii="Calibri" w:hAnsi="Calibri" w:cs="Calibri"/>
          <w:sz w:val="24"/>
          <w:szCs w:val="24"/>
        </w:rPr>
        <w:t xml:space="preserve">- </w:t>
      </w:r>
      <w:r w:rsidRPr="00792867">
        <w:rPr>
          <w:rFonts w:ascii="Calibri" w:hAnsi="Calibri" w:cs="Calibri"/>
          <w:sz w:val="24"/>
          <w:szCs w:val="24"/>
        </w:rPr>
        <w:tab/>
        <w:t>Subvencions</w:t>
      </w:r>
    </w:p>
    <w:p w14:paraId="70315F72" w14:textId="77777777" w:rsidR="00792867" w:rsidRPr="00792867" w:rsidRDefault="00792867" w:rsidP="00792867">
      <w:pPr>
        <w:pStyle w:val="Llista2"/>
        <w:tabs>
          <w:tab w:val="left" w:pos="851"/>
        </w:tabs>
        <w:spacing w:after="0" w:line="240" w:lineRule="auto"/>
        <w:ind w:left="851" w:hanging="284"/>
        <w:rPr>
          <w:rFonts w:ascii="Calibri" w:hAnsi="Calibri" w:cs="Calibri"/>
          <w:sz w:val="24"/>
          <w:szCs w:val="24"/>
        </w:rPr>
      </w:pPr>
      <w:r w:rsidRPr="00792867">
        <w:rPr>
          <w:rFonts w:ascii="Calibri" w:hAnsi="Calibri" w:cs="Calibri"/>
          <w:sz w:val="24"/>
          <w:szCs w:val="24"/>
        </w:rPr>
        <w:t xml:space="preserve">- </w:t>
      </w:r>
      <w:r w:rsidRPr="00792867">
        <w:rPr>
          <w:rFonts w:ascii="Calibri" w:hAnsi="Calibri" w:cs="Calibri"/>
          <w:sz w:val="24"/>
          <w:szCs w:val="24"/>
        </w:rPr>
        <w:tab/>
        <w:t>Quotes d’urbanització</w:t>
      </w:r>
    </w:p>
    <w:p w14:paraId="31277B19" w14:textId="77777777" w:rsidR="00792867" w:rsidRPr="00792867" w:rsidRDefault="00792867" w:rsidP="00792867">
      <w:pPr>
        <w:pStyle w:val="Llista2"/>
        <w:tabs>
          <w:tab w:val="left" w:pos="851"/>
        </w:tabs>
        <w:spacing w:after="0" w:line="240" w:lineRule="auto"/>
        <w:ind w:left="851" w:hanging="284"/>
        <w:rPr>
          <w:rFonts w:ascii="Calibri" w:hAnsi="Calibri" w:cs="Calibri"/>
          <w:sz w:val="24"/>
          <w:szCs w:val="24"/>
        </w:rPr>
      </w:pPr>
      <w:r w:rsidRPr="00792867">
        <w:rPr>
          <w:rFonts w:ascii="Calibri" w:hAnsi="Calibri" w:cs="Calibri"/>
          <w:sz w:val="24"/>
          <w:szCs w:val="24"/>
        </w:rPr>
        <w:t xml:space="preserve">- </w:t>
      </w:r>
      <w:r w:rsidRPr="00792867">
        <w:rPr>
          <w:rFonts w:ascii="Calibri" w:hAnsi="Calibri" w:cs="Calibri"/>
          <w:sz w:val="24"/>
          <w:szCs w:val="24"/>
        </w:rPr>
        <w:tab/>
        <w:t>Taxes</w:t>
      </w:r>
    </w:p>
    <w:p w14:paraId="52AA2A19" w14:textId="77777777" w:rsidR="00792867" w:rsidRDefault="00792867" w:rsidP="00792867">
      <w:pPr>
        <w:pStyle w:val="Llista2"/>
        <w:tabs>
          <w:tab w:val="left" w:pos="851"/>
        </w:tabs>
        <w:spacing w:after="0" w:line="240" w:lineRule="auto"/>
        <w:ind w:left="851" w:hanging="284"/>
        <w:rPr>
          <w:rFonts w:ascii="Calibri" w:hAnsi="Calibri" w:cs="Calibri"/>
          <w:sz w:val="24"/>
          <w:szCs w:val="24"/>
        </w:rPr>
      </w:pPr>
      <w:r w:rsidRPr="00792867">
        <w:rPr>
          <w:rFonts w:ascii="Calibri" w:hAnsi="Calibri" w:cs="Calibri"/>
          <w:sz w:val="24"/>
          <w:szCs w:val="24"/>
        </w:rPr>
        <w:t xml:space="preserve">- </w:t>
      </w:r>
      <w:r w:rsidRPr="00792867">
        <w:rPr>
          <w:rFonts w:ascii="Calibri" w:hAnsi="Calibri" w:cs="Calibri"/>
          <w:sz w:val="24"/>
          <w:szCs w:val="24"/>
        </w:rPr>
        <w:tab/>
        <w:t>Contribucions especials</w:t>
      </w:r>
    </w:p>
    <w:p w14:paraId="651DEDE0" w14:textId="77777777" w:rsidR="00AF699D" w:rsidRPr="00792867" w:rsidRDefault="00AF699D" w:rsidP="00792867">
      <w:pPr>
        <w:pStyle w:val="Llista2"/>
        <w:tabs>
          <w:tab w:val="left" w:pos="851"/>
        </w:tabs>
        <w:spacing w:after="0" w:line="240" w:lineRule="auto"/>
        <w:ind w:left="851" w:hanging="284"/>
        <w:rPr>
          <w:rFonts w:ascii="Calibri" w:hAnsi="Calibri" w:cs="Calibri"/>
          <w:sz w:val="24"/>
          <w:szCs w:val="24"/>
        </w:rPr>
      </w:pPr>
    </w:p>
    <w:p w14:paraId="483BA0B0" w14:textId="77777777" w:rsidR="00792867" w:rsidRPr="00AF699D" w:rsidRDefault="00792867" w:rsidP="00AF699D">
      <w:pPr>
        <w:pStyle w:val="Pargrafdellista"/>
        <w:tabs>
          <w:tab w:val="left" w:pos="1134"/>
        </w:tabs>
        <w:ind w:left="1418" w:hanging="851"/>
        <w:rPr>
          <w:b/>
          <w:sz w:val="24"/>
          <w:szCs w:val="24"/>
        </w:rPr>
      </w:pPr>
      <w:r w:rsidRPr="00AF699D">
        <w:rPr>
          <w:b/>
          <w:sz w:val="24"/>
          <w:szCs w:val="24"/>
        </w:rPr>
        <w:t>4.2.2 Contractació de l’obra</w:t>
      </w:r>
    </w:p>
    <w:p w14:paraId="32905282" w14:textId="77777777" w:rsidR="00792867" w:rsidRPr="00792867" w:rsidRDefault="00792867" w:rsidP="00792867">
      <w:pPr>
        <w:pStyle w:val="Llista2"/>
        <w:spacing w:after="0" w:line="240" w:lineRule="auto"/>
        <w:ind w:left="0" w:firstLine="0"/>
        <w:rPr>
          <w:rFonts w:ascii="Calibri" w:hAnsi="Calibri" w:cs="Calibri"/>
          <w:sz w:val="24"/>
          <w:szCs w:val="24"/>
        </w:rPr>
      </w:pPr>
    </w:p>
    <w:p w14:paraId="65BA2582" w14:textId="77777777" w:rsidR="00E64F76" w:rsidRDefault="00E64F76" w:rsidP="00E64F76">
      <w:pPr>
        <w:pStyle w:val="Textindependent"/>
        <w:tabs>
          <w:tab w:val="left" w:pos="-720"/>
          <w:tab w:val="num" w:pos="1068"/>
        </w:tabs>
        <w:spacing w:before="120"/>
        <w:ind w:left="1065"/>
      </w:pPr>
    </w:p>
    <w:sectPr w:rsidR="00E64F76" w:rsidSect="005D0A25">
      <w:headerReference w:type="default" r:id="rId7"/>
      <w:footerReference w:type="default" r:id="rId8"/>
      <w:pgSz w:w="11906" w:h="16838" w:code="9"/>
      <w:pgMar w:top="1701" w:right="1701" w:bottom="1418" w:left="1701" w:header="709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4660" w14:textId="77777777" w:rsidR="00DF0ECA" w:rsidRDefault="00DF0ECA" w:rsidP="004E1B2F">
      <w:pPr>
        <w:spacing w:after="0" w:line="240" w:lineRule="auto"/>
      </w:pPr>
      <w:r>
        <w:separator/>
      </w:r>
    </w:p>
  </w:endnote>
  <w:endnote w:type="continuationSeparator" w:id="0">
    <w:p w14:paraId="37AC371A" w14:textId="77777777" w:rsidR="00DF0ECA" w:rsidRDefault="00DF0ECA" w:rsidP="004E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0117" w14:textId="77777777" w:rsidR="007958DF" w:rsidRDefault="00AF699D">
    <w:pPr>
      <w:pStyle w:val="Peu"/>
      <w:jc w:val="right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E6487C6" wp14:editId="11B97280">
          <wp:simplePos x="0" y="0"/>
          <wp:positionH relativeFrom="column">
            <wp:posOffset>-9525</wp:posOffset>
          </wp:positionH>
          <wp:positionV relativeFrom="paragraph">
            <wp:posOffset>-132080</wp:posOffset>
          </wp:positionV>
          <wp:extent cx="1219200" cy="387985"/>
          <wp:effectExtent l="0" t="0" r="0" b="0"/>
          <wp:wrapSquare wrapText="bothSides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58DF">
      <w:fldChar w:fldCharType="begin"/>
    </w:r>
    <w:r w:rsidR="007958DF">
      <w:instrText>PAGE   \* MERGEFORMAT</w:instrText>
    </w:r>
    <w:r w:rsidR="007958DF">
      <w:fldChar w:fldCharType="separate"/>
    </w:r>
    <w:r w:rsidR="00152BED">
      <w:rPr>
        <w:noProof/>
      </w:rPr>
      <w:t>1</w:t>
    </w:r>
    <w:r w:rsidR="007958DF">
      <w:fldChar w:fldCharType="end"/>
    </w:r>
  </w:p>
  <w:p w14:paraId="14FDAE71" w14:textId="77777777" w:rsidR="008052D4" w:rsidRDefault="008052D4" w:rsidP="0075265F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DBE97" w14:textId="77777777" w:rsidR="00DF0ECA" w:rsidRDefault="00DF0ECA" w:rsidP="004E1B2F">
      <w:pPr>
        <w:spacing w:after="0" w:line="240" w:lineRule="auto"/>
      </w:pPr>
      <w:r>
        <w:separator/>
      </w:r>
    </w:p>
  </w:footnote>
  <w:footnote w:type="continuationSeparator" w:id="0">
    <w:p w14:paraId="08E5026C" w14:textId="77777777" w:rsidR="00DF0ECA" w:rsidRDefault="00DF0ECA" w:rsidP="004E1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B2C1" w14:textId="77777777" w:rsidR="007958DF" w:rsidRPr="00EB688D" w:rsidRDefault="007958DF" w:rsidP="007958DF">
    <w:pPr>
      <w:autoSpaceDE w:val="0"/>
      <w:autoSpaceDN w:val="0"/>
      <w:spacing w:after="0" w:line="240" w:lineRule="auto"/>
      <w:jc w:val="both"/>
      <w:rPr>
        <w:b/>
        <w:bCs/>
        <w:color w:val="0080C1"/>
        <w:sz w:val="16"/>
        <w:szCs w:val="16"/>
      </w:rPr>
    </w:pPr>
    <w:r w:rsidRPr="00EB688D">
      <w:rPr>
        <w:b/>
        <w:bCs/>
        <w:color w:val="0080C1"/>
        <w:sz w:val="16"/>
        <w:szCs w:val="16"/>
      </w:rPr>
      <w:t>Pla de prevenció d'incendis forestals</w:t>
    </w:r>
  </w:p>
  <w:p w14:paraId="091B629E" w14:textId="77777777" w:rsidR="007958DF" w:rsidRPr="00EB688D" w:rsidRDefault="007958DF" w:rsidP="007958DF">
    <w:pPr>
      <w:spacing w:after="0" w:line="240" w:lineRule="auto"/>
      <w:jc w:val="both"/>
    </w:pPr>
    <w:r w:rsidRPr="00EB688D">
      <w:rPr>
        <w:b/>
        <w:bCs/>
        <w:color w:val="0080C1"/>
        <w:sz w:val="16"/>
        <w:szCs w:val="16"/>
      </w:rPr>
      <w:t>a les urbanitzacions i nuclis de població</w:t>
    </w:r>
  </w:p>
  <w:p w14:paraId="7AA30C54" w14:textId="77777777" w:rsidR="007958DF" w:rsidRDefault="007958DF">
    <w:pPr>
      <w:pStyle w:val="Capalera"/>
      <w:jc w:val="right"/>
    </w:pPr>
  </w:p>
  <w:p w14:paraId="5C1CF6EA" w14:textId="77777777" w:rsidR="0059024A" w:rsidRDefault="0059024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42D1"/>
    <w:multiLevelType w:val="multilevel"/>
    <w:tmpl w:val="2C3456D0"/>
    <w:lvl w:ilvl="0">
      <w:start w:val="4"/>
      <w:numFmt w:val="decimal"/>
      <w:lvlText w:val="%1"/>
      <w:lvlJc w:val="left"/>
      <w:pPr>
        <w:ind w:left="360" w:hanging="360"/>
      </w:pPr>
      <w:rPr>
        <w:rFonts w:cs="Calibri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Calibr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Calibr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Calibr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Calibr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Calibri" w:hint="default"/>
        <w:color w:val="auto"/>
        <w:sz w:val="22"/>
      </w:rPr>
    </w:lvl>
  </w:abstractNum>
  <w:abstractNum w:abstractNumId="1" w15:restartNumberingAfterBreak="0">
    <w:nsid w:val="0B834AE6"/>
    <w:multiLevelType w:val="hybridMultilevel"/>
    <w:tmpl w:val="A45C0A30"/>
    <w:lvl w:ilvl="0" w:tplc="842E40B8">
      <w:start w:val="1"/>
      <w:numFmt w:val="bullet"/>
      <w:lvlText w:val=""/>
      <w:lvlJc w:val="left"/>
      <w:pPr>
        <w:tabs>
          <w:tab w:val="num" w:pos="-1445"/>
        </w:tabs>
        <w:ind w:left="-1445" w:hanging="360"/>
      </w:pPr>
      <w:rPr>
        <w:rFonts w:ascii="Wingdings" w:hAnsi="Wingdings" w:cs="Wingdings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-725"/>
        </w:tabs>
        <w:ind w:left="-7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-5"/>
        </w:tabs>
        <w:ind w:left="-5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F9459BF"/>
    <w:multiLevelType w:val="multilevel"/>
    <w:tmpl w:val="8334CA38"/>
    <w:lvl w:ilvl="0">
      <w:start w:val="4"/>
      <w:numFmt w:val="decimal"/>
      <w:lvlText w:val="%1"/>
      <w:lvlJc w:val="left"/>
      <w:pPr>
        <w:ind w:left="360" w:hanging="360"/>
      </w:pPr>
      <w:rPr>
        <w:rFonts w:cs="Calibri" w:hint="default"/>
        <w:b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Calibri" w:hint="default"/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Calibri" w:hint="default"/>
        <w:b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Calibri" w:hint="default"/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Calibri" w:hint="default"/>
        <w:b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Calibri" w:hint="default"/>
        <w:b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Calibri" w:hint="default"/>
        <w:b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Calibri" w:hint="default"/>
        <w:b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Calibri" w:hint="default"/>
        <w:b w:val="0"/>
        <w:color w:val="auto"/>
        <w:sz w:val="22"/>
      </w:rPr>
    </w:lvl>
  </w:abstractNum>
  <w:abstractNum w:abstractNumId="3" w15:restartNumberingAfterBreak="0">
    <w:nsid w:val="108450A7"/>
    <w:multiLevelType w:val="hybridMultilevel"/>
    <w:tmpl w:val="CC1A8A50"/>
    <w:lvl w:ilvl="0" w:tplc="46E89E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C41AB7"/>
    <w:multiLevelType w:val="hybridMultilevel"/>
    <w:tmpl w:val="F72E65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AF02FC"/>
    <w:multiLevelType w:val="multilevel"/>
    <w:tmpl w:val="0B563D1C"/>
    <w:lvl w:ilvl="0">
      <w:start w:val="1"/>
      <w:numFmt w:val="decimal"/>
      <w:pStyle w:val="EstiloTtulo1IzquierdaSinbordeDerechaSinborde"/>
      <w:lvlText w:val="FASE %1"/>
      <w:lvlJc w:val="left"/>
      <w:pPr>
        <w:tabs>
          <w:tab w:val="num" w:pos="2160"/>
        </w:tabs>
        <w:ind w:left="1418" w:hanging="1418"/>
      </w:pPr>
      <w:rPr>
        <w:rFonts w:ascii="Impact" w:hAnsi="Impact" w:cs="Impact" w:hint="default"/>
        <w:color w:val="FFCC00"/>
        <w:sz w:val="72"/>
        <w:szCs w:val="72"/>
      </w:rPr>
    </w:lvl>
    <w:lvl w:ilvl="1">
      <w:start w:val="1"/>
      <w:numFmt w:val="decimal"/>
      <w:pStyle w:val="Ttol3"/>
      <w:suff w:val="space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Ttol4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ol5"/>
      <w:suff w:val="space"/>
      <w:lvlText w:val="%1.%2.%3.%4"/>
      <w:lvlJc w:val="left"/>
      <w:pPr>
        <w:ind w:left="720" w:hanging="72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03F3959"/>
    <w:multiLevelType w:val="multilevel"/>
    <w:tmpl w:val="9C283F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0211EE"/>
    <w:multiLevelType w:val="hybridMultilevel"/>
    <w:tmpl w:val="03E60CC8"/>
    <w:lvl w:ilvl="0" w:tplc="2E70D35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87895"/>
    <w:multiLevelType w:val="multilevel"/>
    <w:tmpl w:val="FA228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49864FF"/>
    <w:multiLevelType w:val="multilevel"/>
    <w:tmpl w:val="C0203912"/>
    <w:lvl w:ilvl="0">
      <w:start w:val="4"/>
      <w:numFmt w:val="decimal"/>
      <w:lvlText w:val="%1."/>
      <w:lvlJc w:val="left"/>
      <w:pPr>
        <w:ind w:left="360" w:hanging="360"/>
      </w:pPr>
      <w:rPr>
        <w:rFonts w:cs="Calibri"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Calibri" w:hint="default"/>
        <w:b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  <w:b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  <w:b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  <w:b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  <w:b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  <w:b w:val="0"/>
        <w:color w:val="auto"/>
        <w:sz w:val="22"/>
      </w:rPr>
    </w:lvl>
  </w:abstractNum>
  <w:abstractNum w:abstractNumId="10" w15:restartNumberingAfterBreak="0">
    <w:nsid w:val="47A0787B"/>
    <w:multiLevelType w:val="hybridMultilevel"/>
    <w:tmpl w:val="BD5271E2"/>
    <w:lvl w:ilvl="0" w:tplc="C3FE5A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00389"/>
    <w:multiLevelType w:val="multilevel"/>
    <w:tmpl w:val="B908E3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BD83161"/>
    <w:multiLevelType w:val="multilevel"/>
    <w:tmpl w:val="18F243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4682715"/>
    <w:multiLevelType w:val="hybridMultilevel"/>
    <w:tmpl w:val="B912622E"/>
    <w:lvl w:ilvl="0" w:tplc="B016AD6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C56C2"/>
    <w:multiLevelType w:val="hybridMultilevel"/>
    <w:tmpl w:val="3AA89F5C"/>
    <w:lvl w:ilvl="0" w:tplc="B016AD6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546843">
    <w:abstractNumId w:val="5"/>
  </w:num>
  <w:num w:numId="2" w16cid:durableId="952638428">
    <w:abstractNumId w:val="8"/>
  </w:num>
  <w:num w:numId="3" w16cid:durableId="1260796747">
    <w:abstractNumId w:val="3"/>
  </w:num>
  <w:num w:numId="4" w16cid:durableId="387001127">
    <w:abstractNumId w:val="4"/>
  </w:num>
  <w:num w:numId="5" w16cid:durableId="1995335638">
    <w:abstractNumId w:val="1"/>
  </w:num>
  <w:num w:numId="6" w16cid:durableId="2066487849">
    <w:abstractNumId w:val="5"/>
  </w:num>
  <w:num w:numId="7" w16cid:durableId="803616336">
    <w:abstractNumId w:val="11"/>
  </w:num>
  <w:num w:numId="8" w16cid:durableId="79328110">
    <w:abstractNumId w:val="12"/>
  </w:num>
  <w:num w:numId="9" w16cid:durableId="939873302">
    <w:abstractNumId w:val="5"/>
  </w:num>
  <w:num w:numId="10" w16cid:durableId="482240408">
    <w:abstractNumId w:val="5"/>
  </w:num>
  <w:num w:numId="11" w16cid:durableId="1696996928">
    <w:abstractNumId w:val="5"/>
  </w:num>
  <w:num w:numId="12" w16cid:durableId="1457020003">
    <w:abstractNumId w:val="5"/>
  </w:num>
  <w:num w:numId="13" w16cid:durableId="23134731">
    <w:abstractNumId w:val="6"/>
  </w:num>
  <w:num w:numId="14" w16cid:durableId="1167331446">
    <w:abstractNumId w:val="10"/>
  </w:num>
  <w:num w:numId="15" w16cid:durableId="1835490689">
    <w:abstractNumId w:val="13"/>
  </w:num>
  <w:num w:numId="16" w16cid:durableId="2006932141">
    <w:abstractNumId w:val="2"/>
  </w:num>
  <w:num w:numId="17" w16cid:durableId="359211938">
    <w:abstractNumId w:val="9"/>
  </w:num>
  <w:num w:numId="18" w16cid:durableId="826868371">
    <w:abstractNumId w:val="0"/>
  </w:num>
  <w:num w:numId="19" w16cid:durableId="750929416">
    <w:abstractNumId w:val="14"/>
  </w:num>
  <w:num w:numId="20" w16cid:durableId="7907053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trackRevisions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F78"/>
    <w:rsid w:val="000006EA"/>
    <w:rsid w:val="0002269B"/>
    <w:rsid w:val="00037897"/>
    <w:rsid w:val="000513ED"/>
    <w:rsid w:val="0005438F"/>
    <w:rsid w:val="0013407A"/>
    <w:rsid w:val="00152BED"/>
    <w:rsid w:val="00172918"/>
    <w:rsid w:val="00183B91"/>
    <w:rsid w:val="00221EEB"/>
    <w:rsid w:val="002971D8"/>
    <w:rsid w:val="002A1665"/>
    <w:rsid w:val="002A4462"/>
    <w:rsid w:val="002A45DE"/>
    <w:rsid w:val="00306051"/>
    <w:rsid w:val="00314252"/>
    <w:rsid w:val="003272AC"/>
    <w:rsid w:val="0033451A"/>
    <w:rsid w:val="00344E4D"/>
    <w:rsid w:val="0035383A"/>
    <w:rsid w:val="003746A2"/>
    <w:rsid w:val="003A643C"/>
    <w:rsid w:val="003B4787"/>
    <w:rsid w:val="003D543E"/>
    <w:rsid w:val="004620CF"/>
    <w:rsid w:val="004D7C7B"/>
    <w:rsid w:val="004E154F"/>
    <w:rsid w:val="004E1B2F"/>
    <w:rsid w:val="004E7DFA"/>
    <w:rsid w:val="00553ECE"/>
    <w:rsid w:val="005546C6"/>
    <w:rsid w:val="0059024A"/>
    <w:rsid w:val="00596CBF"/>
    <w:rsid w:val="005C56CC"/>
    <w:rsid w:val="005D0A25"/>
    <w:rsid w:val="005F252B"/>
    <w:rsid w:val="0064184C"/>
    <w:rsid w:val="00657F48"/>
    <w:rsid w:val="00667F78"/>
    <w:rsid w:val="0071535B"/>
    <w:rsid w:val="0075265F"/>
    <w:rsid w:val="00767337"/>
    <w:rsid w:val="00792867"/>
    <w:rsid w:val="00794E8F"/>
    <w:rsid w:val="007958DF"/>
    <w:rsid w:val="007A623F"/>
    <w:rsid w:val="008052D4"/>
    <w:rsid w:val="00842FA4"/>
    <w:rsid w:val="008E197D"/>
    <w:rsid w:val="008F0DDB"/>
    <w:rsid w:val="009238A9"/>
    <w:rsid w:val="00A76D20"/>
    <w:rsid w:val="00A931C3"/>
    <w:rsid w:val="00AB6C35"/>
    <w:rsid w:val="00AF699D"/>
    <w:rsid w:val="00B257C1"/>
    <w:rsid w:val="00B3766A"/>
    <w:rsid w:val="00BA330F"/>
    <w:rsid w:val="00BA5A52"/>
    <w:rsid w:val="00BC6295"/>
    <w:rsid w:val="00BE5096"/>
    <w:rsid w:val="00BF7F05"/>
    <w:rsid w:val="00C15A17"/>
    <w:rsid w:val="00C4788C"/>
    <w:rsid w:val="00CE23AB"/>
    <w:rsid w:val="00D417C5"/>
    <w:rsid w:val="00D90865"/>
    <w:rsid w:val="00DD4579"/>
    <w:rsid w:val="00DF0ECA"/>
    <w:rsid w:val="00E4506D"/>
    <w:rsid w:val="00E64F76"/>
    <w:rsid w:val="00EC5F20"/>
    <w:rsid w:val="00F172C2"/>
    <w:rsid w:val="00F54881"/>
    <w:rsid w:val="00F57F75"/>
    <w:rsid w:val="00F767F6"/>
    <w:rsid w:val="00FB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448CBA"/>
  <w15:docId w15:val="{BFABA3E2-E445-45B3-8E43-8C45750E8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D2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Ttol1">
    <w:name w:val="heading 1"/>
    <w:basedOn w:val="Normal"/>
    <w:next w:val="Normal"/>
    <w:link w:val="Ttol1Car"/>
    <w:uiPriority w:val="99"/>
    <w:qFormat/>
    <w:rsid w:val="00172918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ol3">
    <w:name w:val="heading 3"/>
    <w:basedOn w:val="Normal"/>
    <w:next w:val="Normal"/>
    <w:link w:val="Ttol3Car"/>
    <w:uiPriority w:val="99"/>
    <w:qFormat/>
    <w:rsid w:val="00172918"/>
    <w:pPr>
      <w:keepNext/>
      <w:numPr>
        <w:ilvl w:val="1"/>
        <w:numId w:val="1"/>
      </w:numPr>
      <w:pBdr>
        <w:bottom w:val="single" w:sz="4" w:space="1" w:color="993300"/>
      </w:pBdr>
      <w:spacing w:before="360" w:after="240" w:line="320" w:lineRule="exact"/>
      <w:outlineLvl w:val="2"/>
    </w:pPr>
    <w:rPr>
      <w:rFonts w:ascii="Arial" w:eastAsia="Times New Roman" w:hAnsi="Arial" w:cs="Arial"/>
      <w:b/>
      <w:bCs/>
      <w:color w:val="993300"/>
      <w:sz w:val="28"/>
      <w:szCs w:val="28"/>
      <w:lang w:eastAsia="es-ES"/>
    </w:rPr>
  </w:style>
  <w:style w:type="paragraph" w:styleId="Ttol4">
    <w:name w:val="heading 4"/>
    <w:basedOn w:val="Normal"/>
    <w:next w:val="Normal"/>
    <w:link w:val="Ttol4Car"/>
    <w:uiPriority w:val="99"/>
    <w:qFormat/>
    <w:rsid w:val="00172918"/>
    <w:pPr>
      <w:keepNext/>
      <w:numPr>
        <w:ilvl w:val="2"/>
        <w:numId w:val="1"/>
      </w:numPr>
      <w:spacing w:before="360" w:after="60" w:line="320" w:lineRule="exact"/>
      <w:outlineLvl w:val="3"/>
    </w:pPr>
    <w:rPr>
      <w:rFonts w:ascii="Arial" w:eastAsia="Times New Roman" w:hAnsi="Arial" w:cs="Arial"/>
      <w:b/>
      <w:bCs/>
      <w:color w:val="993300"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9"/>
    <w:qFormat/>
    <w:rsid w:val="00172918"/>
    <w:pPr>
      <w:keepNext/>
      <w:numPr>
        <w:ilvl w:val="3"/>
        <w:numId w:val="1"/>
      </w:numPr>
      <w:spacing w:before="480" w:after="60" w:line="320" w:lineRule="exact"/>
      <w:outlineLvl w:val="4"/>
    </w:pPr>
    <w:rPr>
      <w:rFonts w:ascii="Arial" w:eastAsia="Times New Roman" w:hAnsi="Arial" w:cs="Arial"/>
      <w:b/>
      <w:bCs/>
      <w:color w:val="80808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link w:val="Ttol1"/>
    <w:uiPriority w:val="99"/>
    <w:rsid w:val="0017291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ol3Car">
    <w:name w:val="Títol 3 Car"/>
    <w:link w:val="Ttol3"/>
    <w:uiPriority w:val="99"/>
    <w:rsid w:val="00172918"/>
    <w:rPr>
      <w:rFonts w:ascii="Arial" w:eastAsia="Times New Roman" w:hAnsi="Arial" w:cs="Arial"/>
      <w:b/>
      <w:bCs/>
      <w:color w:val="993300"/>
      <w:sz w:val="28"/>
      <w:szCs w:val="28"/>
      <w:lang w:val="ca-ES" w:eastAsia="es-ES"/>
    </w:rPr>
  </w:style>
  <w:style w:type="character" w:customStyle="1" w:styleId="Ttol4Car">
    <w:name w:val="Títol 4 Car"/>
    <w:link w:val="Ttol4"/>
    <w:uiPriority w:val="99"/>
    <w:rsid w:val="00172918"/>
    <w:rPr>
      <w:rFonts w:ascii="Arial" w:hAnsi="Arial" w:cs="Arial"/>
      <w:b/>
      <w:bCs/>
      <w:color w:val="993300"/>
      <w:sz w:val="24"/>
      <w:szCs w:val="24"/>
      <w:lang w:eastAsia="es-ES"/>
    </w:rPr>
  </w:style>
  <w:style w:type="character" w:customStyle="1" w:styleId="Ttol5Car">
    <w:name w:val="Títol 5 Car"/>
    <w:link w:val="Ttol5"/>
    <w:uiPriority w:val="99"/>
    <w:rsid w:val="00172918"/>
    <w:rPr>
      <w:rFonts w:ascii="Arial" w:hAnsi="Arial" w:cs="Arial"/>
      <w:b/>
      <w:bCs/>
      <w:color w:val="808080"/>
      <w:sz w:val="20"/>
      <w:szCs w:val="20"/>
      <w:lang w:eastAsia="es-ES"/>
    </w:rPr>
  </w:style>
  <w:style w:type="paragraph" w:customStyle="1" w:styleId="EstiloTtulo1IzquierdaSinbordeDerechaSinborde">
    <w:name w:val="Estilo Título 1 + Izquierda: (Sin borde) Derecha: (Sin borde)"/>
    <w:basedOn w:val="Ttol1"/>
    <w:uiPriority w:val="99"/>
    <w:rsid w:val="00172918"/>
    <w:pPr>
      <w:keepLines w:val="0"/>
      <w:numPr>
        <w:numId w:val="1"/>
      </w:numPr>
      <w:pBdr>
        <w:top w:val="single" w:sz="12" w:space="12" w:color="993300"/>
        <w:bottom w:val="single" w:sz="12" w:space="16" w:color="993300"/>
      </w:pBdr>
      <w:spacing w:before="0" w:line="240" w:lineRule="auto"/>
      <w:jc w:val="center"/>
    </w:pPr>
    <w:rPr>
      <w:rFonts w:ascii="Arial" w:hAnsi="Arial" w:cs="Arial"/>
      <w:smallCaps/>
      <w:noProof/>
      <w:color w:val="993300"/>
      <w:sz w:val="40"/>
      <w:szCs w:val="40"/>
      <w:lang w:val="es-ES" w:eastAsia="es-ES"/>
    </w:rPr>
  </w:style>
  <w:style w:type="paragraph" w:styleId="Pargrafdellista">
    <w:name w:val="List Paragraph"/>
    <w:basedOn w:val="Normal"/>
    <w:uiPriority w:val="99"/>
    <w:qFormat/>
    <w:rsid w:val="007A623F"/>
    <w:pPr>
      <w:ind w:left="720"/>
      <w:contextualSpacing/>
    </w:pPr>
  </w:style>
  <w:style w:type="paragraph" w:customStyle="1" w:styleId="Car1CarCarCarCarCarCarCarCar">
    <w:name w:val="Car1 Car Car Car Car Car Car Car Car"/>
    <w:basedOn w:val="Normal"/>
    <w:uiPriority w:val="99"/>
    <w:rsid w:val="00D9086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xtindependent">
    <w:name w:val="Body Text"/>
    <w:basedOn w:val="Normal"/>
    <w:link w:val="TextindependentCar"/>
    <w:uiPriority w:val="99"/>
    <w:rsid w:val="00D9086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independentCar">
    <w:name w:val="Text independent Car"/>
    <w:link w:val="Textindependent"/>
    <w:uiPriority w:val="99"/>
    <w:rsid w:val="00D90865"/>
    <w:rPr>
      <w:rFonts w:ascii="Times New Roman" w:hAnsi="Times New Roman" w:cs="Times New Roman"/>
      <w:sz w:val="20"/>
      <w:szCs w:val="20"/>
      <w:lang w:eastAsia="es-ES"/>
    </w:rPr>
  </w:style>
  <w:style w:type="paragraph" w:styleId="Llista2">
    <w:name w:val="List 2"/>
    <w:basedOn w:val="Normal"/>
    <w:uiPriority w:val="99"/>
    <w:rsid w:val="00D90865"/>
    <w:pPr>
      <w:spacing w:after="120" w:line="320" w:lineRule="exact"/>
      <w:ind w:left="566" w:hanging="283"/>
      <w:jc w:val="both"/>
    </w:pPr>
    <w:rPr>
      <w:rFonts w:ascii="Arial" w:eastAsia="Times New Roman" w:hAnsi="Arial" w:cs="Arial"/>
      <w:lang w:eastAsia="es-ES"/>
    </w:rPr>
  </w:style>
  <w:style w:type="paragraph" w:styleId="Capalera">
    <w:name w:val="header"/>
    <w:basedOn w:val="Normal"/>
    <w:link w:val="CapaleraCar"/>
    <w:uiPriority w:val="99"/>
    <w:rsid w:val="004E1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4E1B2F"/>
  </w:style>
  <w:style w:type="paragraph" w:styleId="Peu">
    <w:name w:val="footer"/>
    <w:basedOn w:val="Normal"/>
    <w:link w:val="PeuCar"/>
    <w:uiPriority w:val="99"/>
    <w:rsid w:val="004E1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4E1B2F"/>
  </w:style>
  <w:style w:type="paragraph" w:styleId="Senseespaiat">
    <w:name w:val="No Spacing"/>
    <w:link w:val="SenseespaiatCar"/>
    <w:uiPriority w:val="99"/>
    <w:qFormat/>
    <w:rsid w:val="004E1B2F"/>
    <w:rPr>
      <w:rFonts w:eastAsia="Times New Roman" w:cs="Calibri"/>
      <w:sz w:val="22"/>
      <w:szCs w:val="22"/>
    </w:rPr>
  </w:style>
  <w:style w:type="character" w:customStyle="1" w:styleId="SenseespaiatCar">
    <w:name w:val="Sense espaiat Car"/>
    <w:link w:val="Senseespaiat"/>
    <w:uiPriority w:val="99"/>
    <w:rsid w:val="004E1B2F"/>
    <w:rPr>
      <w:rFonts w:eastAsia="Times New Roman"/>
      <w:sz w:val="22"/>
      <w:szCs w:val="22"/>
      <w:lang w:val="ca-ES" w:eastAsia="ca-ES"/>
    </w:rPr>
  </w:style>
  <w:style w:type="paragraph" w:styleId="Textdeglobus">
    <w:name w:val="Balloon Text"/>
    <w:basedOn w:val="Normal"/>
    <w:link w:val="TextdeglobusCar"/>
    <w:uiPriority w:val="99"/>
    <w:semiHidden/>
    <w:rsid w:val="00842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842FA4"/>
    <w:rPr>
      <w:rFonts w:ascii="Tahoma" w:hAnsi="Tahoma" w:cs="Tahoma"/>
      <w:sz w:val="16"/>
      <w:szCs w:val="16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F54881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54881"/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54881"/>
    <w:rPr>
      <w:rFonts w:cs="Calibri"/>
      <w:lang w:eastAsia="en-U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54881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54881"/>
    <w:rPr>
      <w:rFonts w:cs="Calibri"/>
      <w:b/>
      <w:bCs/>
      <w:lang w:eastAsia="en-US"/>
    </w:rPr>
  </w:style>
  <w:style w:type="paragraph" w:styleId="Revisi">
    <w:name w:val="Revision"/>
    <w:hidden/>
    <w:uiPriority w:val="99"/>
    <w:semiHidden/>
    <w:rsid w:val="00596CBF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1672</Characters>
  <Application>Microsoft Office Word</Application>
  <DocSecurity>4</DocSecurity>
  <Lines>13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Diputació de Barcelona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navalonnx</dc:creator>
  <cp:lastModifiedBy>TARRADAS MARTI, LIDIA</cp:lastModifiedBy>
  <cp:revision>2</cp:revision>
  <cp:lastPrinted>2018-11-02T10:05:00Z</cp:lastPrinted>
  <dcterms:created xsi:type="dcterms:W3CDTF">2023-05-23T10:57:00Z</dcterms:created>
  <dcterms:modified xsi:type="dcterms:W3CDTF">2023-05-23T10:57:00Z</dcterms:modified>
</cp:coreProperties>
</file>